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</w:t>
      </w:r>
      <w:proofErr w:type="spellStart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ภัฏ</w:t>
      </w:r>
      <w:proofErr w:type="spellEnd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proofErr w:type="gramEnd"/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  <w:proofErr w:type="gramEnd"/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Default="000543F9" w:rsidP="00514898">
      <w:pPr>
        <w:pStyle w:val="7"/>
        <w:spacing w:before="0"/>
        <w:ind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ระบบออนไลน์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0427DD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</w:pP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ระบุวัตถุประสงค์ที่มีการพัฒนา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/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ปรับปรุงรายวิชา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(ตัวอย่าง)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</w:t>
      </w:r>
      <w:proofErr w:type="spellStart"/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962DF4" w:rsidRPr="00F37078" w:rsidRDefault="00962DF4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4021113</w:t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>เคมีพื้นฐานสำหรับครู</w:t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         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         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3 </w:t>
      </w:r>
      <w:r w:rsidRPr="00F3707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  <w:t>(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2</w:t>
      </w:r>
      <w:r w:rsidRPr="00F3707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  <w:t>-</w:t>
      </w:r>
      <w:r w:rsidRPr="00F3707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  <w:lang w:bidi="th-TH"/>
        </w:rPr>
        <w:t>3</w:t>
      </w:r>
      <w:r w:rsidRPr="00F3707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  <w:t>-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4</w:t>
      </w:r>
      <w:r w:rsidRPr="00F3707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  <w:t>)</w:t>
      </w:r>
    </w:p>
    <w:p w:rsidR="00962DF4" w:rsidRPr="00F37078" w:rsidRDefault="00962DF4" w:rsidP="00962DF4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  <w:t>Fundamental Chemistry for Teachers</w:t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962DF4" w:rsidRPr="00F37078" w:rsidRDefault="00962DF4" w:rsidP="00962DF4">
      <w:pPr>
        <w:tabs>
          <w:tab w:val="left" w:pos="1701"/>
          <w:tab w:val="left" w:pos="1843"/>
        </w:tabs>
        <w:ind w:left="1843" w:hanging="1843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ab/>
      </w:r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ab/>
      </w:r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ab/>
      </w:r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ab/>
        <w:t>อธิบายหลักเบื้องต้นทางเคมี โครงสร้างอะตอม ปริมาณสารสัมพันธ์ พันธะเคมี สมบัติของธาตุ</w:t>
      </w:r>
      <w:proofErr w:type="spellStart"/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เร</w:t>
      </w:r>
      <w:proofErr w:type="spellEnd"/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พีเซนเท</w:t>
      </w:r>
      <w:proofErr w:type="spellStart"/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ทีฟและท</w:t>
      </w:r>
      <w:proofErr w:type="spellEnd"/>
      <w:r w:rsidRPr="00F3707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รานสิชัน ก๊าซ ของแข็ง ของเหลว สารละลาย สมดุลเคมีและ กรด-เบส และปฏิบัติการที่สอดคล้องกับเนื้อหารายวิชาโดยใช้ทักษะกระบวนการทางวิทยาศาสตร์</w:t>
      </w:r>
    </w:p>
    <w:p w:rsidR="00962DF4" w:rsidRPr="00F37078" w:rsidRDefault="00962DF4" w:rsidP="00962DF4">
      <w:pPr>
        <w:tabs>
          <w:tab w:val="left" w:pos="1843"/>
        </w:tabs>
        <w:ind w:left="1843" w:hanging="1843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Explain the principle of chemistry, atomic structure, stoichiometry, chemical bonding, properties of the representative elements and transition metals, gas, solid, liquid, solution, chemical equilibrium and acid-base, and practice in the related content through the laboratory experiment using the science process skills</w:t>
      </w:r>
    </w:p>
    <w:p w:rsidR="001260D1" w:rsidRPr="00F37078" w:rsidRDefault="001260D1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307A3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C24E" wp14:editId="503BF783">
                <wp:simplePos x="0" y="0"/>
                <wp:positionH relativeFrom="column">
                  <wp:posOffset>-752475</wp:posOffset>
                </wp:positionH>
                <wp:positionV relativeFrom="paragraph">
                  <wp:posOffset>93345</wp:posOffset>
                </wp:positionV>
                <wp:extent cx="528637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Default="00BD25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ตัวอย่างเช่น หน่วย</w:t>
                            </w:r>
                            <w:proofErr w:type="spellStart"/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3(1-2-6)</w:t>
                            </w:r>
                            <w:r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DCC" w:rsidRP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Default="00CD5D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2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30 </w:t>
                            </w:r>
                            <w:r w:rsidR="00CD5D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= 90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CD5DCC" w:rsidRDefault="007D5E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C2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25pt;margin-top:7.35pt;width:41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" filled="f" stroked="f" strokeweight=".5pt">
                <v:textbox>
                  <w:txbxContent>
                    <w:p w:rsidR="00CD5DCC" w:rsidRDefault="00BD25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ตัวอย่างเช่น หน่วย</w:t>
                      </w:r>
                      <w:proofErr w:type="spellStart"/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กิต</w:t>
                      </w:r>
                      <w:proofErr w:type="spellEnd"/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3(1-2-6)</w:t>
                      </w:r>
                      <w:r w:rsidRPr="00CD5D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D5DCC" w:rsidRPr="00CD5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Default="00CD5D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ชั่วโมงบรรยาย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หน่วย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กิต</w:t>
                      </w:r>
                      <w:proofErr w:type="spellEnd"/>
                    </w:p>
                    <w:p w:rsidR="00CD5DCC" w:rsidRDefault="007D5E5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2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30 </w:t>
                      </w:r>
                      <w:r w:rsidR="00CD5D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CD5DCC" w:rsidRDefault="007D5E5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= 90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CD5DCC" w:rsidRDefault="007D5E5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ศึก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54501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  <w:bookmarkStart w:id="0" w:name="_GoBack"/>
      <w:bookmarkEnd w:id="0"/>
    </w:p>
    <w:p w:rsidR="005C2DD4" w:rsidRDefault="00EB4ADC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แนะนำและให้คำปรึกษากับผู้เรียนตลอดภาคการศึกษาผ่านระบบการเรียนออนไลน์ ช่องทาง</w:t>
      </w:r>
      <w:proofErr w:type="spellStart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ไลน์</w:t>
      </w:r>
      <w:proofErr w:type="spellEnd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033121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ดยให้ใส่รายวิชาเดียวกันกับ </w:t>
      </w:r>
      <w:proofErr w:type="spellStart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มคอ</w:t>
      </w:r>
      <w:proofErr w:type="spellEnd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บังคับเอก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เคมีพื้นฐานสำหรับครู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4.2  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ตารางแสดงความสัมพันธ์ผลลัพธ์การเรียนรู้ที่คาดหวังของรายวิชา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(CLOs)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และ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ผลลัพธ์การเรียนรู้ที่คาดหวังของหลักสูตร  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(PLOs)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</w:t>
      </w:r>
      <w:r w:rsidR="005A2E05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เฉพาะหลักสูตรที่ใช้เกณฑ์ </w:t>
      </w:r>
      <w:r w:rsidR="005A2E05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AUN-QA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44"/>
        <w:gridCol w:w="3215"/>
        <w:gridCol w:w="3387"/>
      </w:tblGrid>
      <w:tr w:rsidR="004874E3" w:rsidRPr="00F37078" w:rsidTr="00033121">
        <w:tc>
          <w:tcPr>
            <w:tcW w:w="3377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ผลลัพธ์การเรียนรู้ที่คาดหวังของรายวิชา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</w:p>
        </w:tc>
        <w:tc>
          <w:tcPr>
            <w:tcW w:w="3544" w:type="dxa"/>
            <w:shd w:val="clear" w:color="auto" w:fill="F2F2F2"/>
          </w:tcPr>
          <w:p w:rsidR="004874E3" w:rsidRPr="00F37078" w:rsidRDefault="00033121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eastAsia="ja-JP" w:bidi="th-TH"/>
              </w:rPr>
              <w:t xml:space="preserve">ผลลัพธ์การเรียนรู้ที่คาดหวังของหลักสูตร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(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)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 xml:space="preserve"> </w:t>
            </w:r>
            <w:r w:rsidR="004874E3"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ที่รายวิชารับผิดชอบ</w:t>
            </w:r>
          </w:p>
        </w:tc>
        <w:tc>
          <w:tcPr>
            <w:tcW w:w="3215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กลยุทธ์การสอนตาม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CLOs</w:t>
            </w:r>
          </w:p>
        </w:tc>
        <w:tc>
          <w:tcPr>
            <w:tcW w:w="3387" w:type="dxa"/>
            <w:shd w:val="clear" w:color="auto" w:fill="F2F2F2"/>
          </w:tcPr>
          <w:p w:rsidR="004874E3" w:rsidRPr="00F37078" w:rsidRDefault="004874E3" w:rsidP="0068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 xml:space="preserve">กลยุทธ์สำหรับการวัดและประเมินผลตาม </w:t>
            </w:r>
            <w:r w:rsidRPr="00F3707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CLOs</w:t>
            </w:r>
          </w:p>
        </w:tc>
      </w:tr>
      <w:tr w:rsidR="004874E3" w:rsidRPr="00F37078" w:rsidTr="00033121">
        <w:tc>
          <w:tcPr>
            <w:tcW w:w="3377" w:type="dxa"/>
            <w:shd w:val="clear" w:color="auto" w:fill="auto"/>
          </w:tcPr>
          <w:p w:rsidR="004874E3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  <w:p w:rsidR="00033121" w:rsidRPr="00F37078" w:rsidRDefault="00033121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544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215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3387" w:type="dxa"/>
            <w:shd w:val="clear" w:color="auto" w:fill="auto"/>
          </w:tcPr>
          <w:p w:rsidR="004874E3" w:rsidRPr="00F37078" w:rsidRDefault="004874E3" w:rsidP="00903C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EB4ADC" w:rsidRPr="00F37078" w:rsidRDefault="00EB4ADC" w:rsidP="00903CE7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sectPr w:rsidR="00EB4ADC" w:rsidRPr="00F37078" w:rsidSect="008B1966">
          <w:pgSz w:w="15840" w:h="12240" w:orient="landscape" w:code="1"/>
          <w:pgMar w:top="1151" w:right="1009" w:bottom="1440" w:left="1298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ระบุหัวข้อ/รายละเอียด 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lang w:val="en-AU" w:bidi="th-TH"/>
        </w:rPr>
        <w:t>CLOs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 xml:space="preserve"> จำนวนชั่วโมงการสอน (ซึ่งต้องสอดคล้องกับจำนวนหน่วย</w:t>
      </w:r>
      <w:proofErr w:type="spellStart"/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กิต</w:t>
      </w:r>
      <w:proofErr w:type="spellEnd"/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) กิจกรรมการเรียนการสอนและส</w:t>
      </w:r>
      <w:r w:rsidR="004874E3" w:rsidRPr="00F3707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ื่อที่ใช้ รวมทั้งอาจารย์ผู้สอนในแต่ละหัวข้อ</w:t>
      </w:r>
    </w:p>
    <w:tbl>
      <w:tblPr>
        <w:tblW w:w="1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712"/>
        <w:gridCol w:w="1216"/>
        <w:gridCol w:w="2353"/>
        <w:gridCol w:w="1866"/>
        <w:gridCol w:w="2309"/>
      </w:tblGrid>
      <w:tr w:rsidR="002E3BF7" w:rsidRPr="00F37078" w:rsidTr="00307A3E">
        <w:trPr>
          <w:tblHeader/>
        </w:trPr>
        <w:tc>
          <w:tcPr>
            <w:tcW w:w="1234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712" w:type="dxa"/>
            <w:shd w:val="clear" w:color="auto" w:fill="F2F2F2"/>
          </w:tcPr>
          <w:p w:rsidR="002E3BF7" w:rsidRPr="00033121" w:rsidRDefault="002E3BF7" w:rsidP="00033121">
            <w:pPr>
              <w:ind w:left="526" w:hanging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  <w:t>CLOs</w:t>
            </w:r>
          </w:p>
        </w:tc>
        <w:tc>
          <w:tcPr>
            <w:tcW w:w="1216" w:type="dxa"/>
            <w:shd w:val="clear" w:color="auto" w:fill="F2F2F2"/>
          </w:tcPr>
          <w:p w:rsidR="002E3BF7" w:rsidRPr="00033121" w:rsidRDefault="002E3BF7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2353" w:type="dxa"/>
            <w:shd w:val="clear" w:color="auto" w:fill="F2F2F2"/>
          </w:tcPr>
          <w:p w:rsidR="002E3BF7" w:rsidRPr="002E3BF7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="000D3E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วัด</w:t>
            </w:r>
          </w:p>
        </w:tc>
        <w:tc>
          <w:tcPr>
            <w:tcW w:w="1866" w:type="dxa"/>
            <w:shd w:val="clear" w:color="auto" w:fill="F2F2F2"/>
          </w:tcPr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2E3BF7" w:rsidRPr="002E3BF7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2E3BF7" w:rsidRPr="00033121" w:rsidRDefault="002E3BF7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2309" w:type="dxa"/>
            <w:shd w:val="clear" w:color="auto" w:fill="F2F2F2"/>
          </w:tcPr>
          <w:p w:rsidR="002E3BF7" w:rsidRPr="00033121" w:rsidRDefault="002E3BF7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auto"/>
          </w:tcPr>
          <w:p w:rsidR="002E3BF7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Pr="00033121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15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F36885" w:rsidRPr="00F37078" w:rsidTr="002E3BF7">
        <w:tc>
          <w:tcPr>
            <w:tcW w:w="1234" w:type="dxa"/>
            <w:shd w:val="clear" w:color="auto" w:fill="auto"/>
          </w:tcPr>
          <w:p w:rsidR="00F36885" w:rsidRDefault="00F36885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53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309" w:type="dxa"/>
            <w:shd w:val="clear" w:color="auto" w:fill="auto"/>
          </w:tcPr>
          <w:p w:rsidR="00F36885" w:rsidRPr="00F37078" w:rsidRDefault="00F36885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2E3BF7" w:rsidRPr="00F37078" w:rsidTr="002E3BF7">
        <w:tc>
          <w:tcPr>
            <w:tcW w:w="1234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712" w:type="dxa"/>
            <w:shd w:val="clear" w:color="auto" w:fill="auto"/>
          </w:tcPr>
          <w:p w:rsidR="002E3BF7" w:rsidRPr="00033121" w:rsidRDefault="002E3BF7" w:rsidP="000331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  <w:lang w:val="en-AU" w:eastAsia="ja-JP" w:bidi="th-TH"/>
              </w:rPr>
              <w:t>รวม</w:t>
            </w:r>
          </w:p>
        </w:tc>
        <w:tc>
          <w:tcPr>
            <w:tcW w:w="1216" w:type="dxa"/>
            <w:shd w:val="clear" w:color="auto" w:fill="auto"/>
          </w:tcPr>
          <w:p w:rsidR="002E3BF7" w:rsidRPr="00F36885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2E3BF7" w:rsidRPr="00F37078" w:rsidRDefault="002E3BF7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66" w:type="dxa"/>
            <w:shd w:val="clear" w:color="auto" w:fill="BFBFBF" w:themeFill="background1" w:themeFillShade="BF"/>
          </w:tcPr>
          <w:p w:rsidR="002E3BF7" w:rsidRPr="00F37078" w:rsidRDefault="00F36885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2E3BF7" w:rsidRPr="00F37078" w:rsidRDefault="002E3BF7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</w:t>
      </w:r>
      <w:proofErr w:type="spellStart"/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วิทย</w:t>
      </w:r>
      <w:proofErr w:type="spellEnd"/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5B" w:rsidRDefault="0006725B">
      <w:r>
        <w:separator/>
      </w:r>
    </w:p>
  </w:endnote>
  <w:endnote w:type="continuationSeparator" w:id="0">
    <w:p w:rsidR="0006725B" w:rsidRDefault="000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5016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5016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5B" w:rsidRDefault="0006725B">
      <w:r>
        <w:separator/>
      </w:r>
    </w:p>
  </w:footnote>
  <w:footnote w:type="continuationSeparator" w:id="0">
    <w:p w:rsidR="0006725B" w:rsidRDefault="0006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</w:pP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725B"/>
    <w:rsid w:val="00070142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F37"/>
    <w:rsid w:val="00217907"/>
    <w:rsid w:val="00217F7E"/>
    <w:rsid w:val="00232917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6E14"/>
    <w:rsid w:val="0040779F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5016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A2E05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50C6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A3CF1"/>
    <w:rsid w:val="00DB0209"/>
    <w:rsid w:val="00DB2AFB"/>
    <w:rsid w:val="00DB37FC"/>
    <w:rsid w:val="00DB3BC9"/>
    <w:rsid w:val="00DD4952"/>
    <w:rsid w:val="00DE16C3"/>
    <w:rsid w:val="00DE3B74"/>
    <w:rsid w:val="00E048C9"/>
    <w:rsid w:val="00E1069A"/>
    <w:rsid w:val="00E158C3"/>
    <w:rsid w:val="00E216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77CD"/>
    <w:rsid w:val="00E727FF"/>
    <w:rsid w:val="00E73B13"/>
    <w:rsid w:val="00E73E77"/>
    <w:rsid w:val="00E774AA"/>
    <w:rsid w:val="00E83BFC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310F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03E41-2B72-4BE7-A24C-AEC9D12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14</cp:revision>
  <cp:lastPrinted>2020-03-02T09:29:00Z</cp:lastPrinted>
  <dcterms:created xsi:type="dcterms:W3CDTF">2020-04-04T09:48:00Z</dcterms:created>
  <dcterms:modified xsi:type="dcterms:W3CDTF">2020-04-23T07:50:00Z</dcterms:modified>
</cp:coreProperties>
</file>